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7"/>
        <w:rPr>
          <w:rFonts w:ascii="Times New Roman"/>
          <w:sz w:val="24"/>
        </w:rPr>
      </w:pPr>
    </w:p>
    <w:p>
      <w:pPr>
        <w:spacing w:after="0"/>
        <w:rPr>
          <w:rFonts w:ascii="Times New Roman"/>
          <w:sz w:val="24"/>
        </w:rPr>
        <w:sectPr>
          <w:type w:val="continuous"/>
          <w:pgSz w:w="11900" w:h="16850"/>
          <w:pgMar w:top="140" w:bottom="0" w:left="0" w:right="40"/>
        </w:sectPr>
      </w:pPr>
    </w:p>
    <w:p>
      <w:pPr>
        <w:spacing w:line="195" w:lineRule="exact" w:before="114"/>
        <w:ind w:left="0" w:right="813" w:firstLine="0"/>
        <w:jc w:val="right"/>
        <w:rPr>
          <w:rFonts w:ascii="Arial"/>
          <w:sz w:val="17"/>
        </w:rPr>
      </w:pPr>
      <w:r>
        <w:rPr/>
        <w:drawing>
          <wp:anchor distT="0" distB="0" distL="0" distR="0" allowOverlap="1" layoutInCell="1" locked="0" behindDoc="1" simplePos="0" relativeHeight="268430279">
            <wp:simplePos x="0" y="0"/>
            <wp:positionH relativeFrom="page">
              <wp:posOffset>67311</wp:posOffset>
            </wp:positionH>
            <wp:positionV relativeFrom="paragraph">
              <wp:posOffset>-759105</wp:posOffset>
            </wp:positionV>
            <wp:extent cx="7032890" cy="1822063"/>
            <wp:effectExtent l="0" t="0" r="0" b="0"/>
            <wp:wrapNone/>
            <wp:docPr id="1" name="image1.png" descr=""/>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032890" cy="1822063"/>
                    </a:xfrm>
                    <a:prstGeom prst="rect">
                      <a:avLst/>
                    </a:prstGeom>
                  </pic:spPr>
                </pic:pic>
              </a:graphicData>
            </a:graphic>
          </wp:anchor>
        </w:drawing>
      </w:r>
      <w:r>
        <w:rPr>
          <w:rFonts w:ascii="Arial"/>
          <w:color w:val="4C4C4C"/>
          <w:sz w:val="17"/>
        </w:rPr>
        <w:t>Office for Research</w:t>
      </w:r>
    </w:p>
    <w:p>
      <w:pPr>
        <w:spacing w:before="0"/>
        <w:ind w:left="6516" w:right="-6" w:firstLine="0"/>
        <w:jc w:val="left"/>
        <w:rPr>
          <w:rFonts w:ascii="Arial"/>
          <w:sz w:val="17"/>
        </w:rPr>
      </w:pPr>
      <w:r>
        <w:rPr>
          <w:rFonts w:ascii="Arial"/>
          <w:color w:val="4C4C4C"/>
          <w:sz w:val="17"/>
        </w:rPr>
        <w:t>The Royal Melbourne</w:t>
      </w:r>
      <w:r>
        <w:rPr>
          <w:rFonts w:ascii="Arial"/>
          <w:color w:val="4C4C4C"/>
          <w:spacing w:val="-18"/>
          <w:sz w:val="17"/>
        </w:rPr>
        <w:t> </w:t>
      </w:r>
      <w:r>
        <w:rPr>
          <w:rFonts w:ascii="Arial"/>
          <w:color w:val="4C4C4C"/>
          <w:sz w:val="17"/>
        </w:rPr>
        <w:t>Hospital Level 2 South</w:t>
      </w:r>
      <w:r>
        <w:rPr>
          <w:rFonts w:ascii="Arial"/>
          <w:color w:val="4C4C4C"/>
          <w:spacing w:val="-9"/>
          <w:sz w:val="17"/>
        </w:rPr>
        <w:t> </w:t>
      </w:r>
      <w:r>
        <w:rPr>
          <w:rFonts w:ascii="Arial"/>
          <w:color w:val="4C4C4C"/>
          <w:sz w:val="17"/>
        </w:rPr>
        <w:t>West</w:t>
      </w:r>
    </w:p>
    <w:p>
      <w:pPr>
        <w:spacing w:line="194" w:lineRule="exact" w:before="1"/>
        <w:ind w:left="0" w:right="885" w:firstLine="0"/>
        <w:jc w:val="right"/>
        <w:rPr>
          <w:rFonts w:ascii="Arial"/>
          <w:sz w:val="17"/>
        </w:rPr>
      </w:pPr>
      <w:r>
        <w:rPr>
          <w:rFonts w:ascii="Arial"/>
          <w:color w:val="4C4C4C"/>
          <w:sz w:val="17"/>
        </w:rPr>
        <w:t>300 Grattan Street</w:t>
      </w:r>
    </w:p>
    <w:p>
      <w:pPr>
        <w:spacing w:before="1"/>
        <w:ind w:left="6516" w:right="864" w:firstLine="0"/>
        <w:jc w:val="left"/>
        <w:rPr>
          <w:rFonts w:ascii="Arial"/>
          <w:sz w:val="17"/>
        </w:rPr>
      </w:pPr>
      <w:r>
        <w:rPr>
          <w:rFonts w:ascii="Arial"/>
          <w:color w:val="4C4C4C"/>
          <w:sz w:val="17"/>
        </w:rPr>
        <w:t>Parkville VIC 3050 Australia</w:t>
      </w:r>
    </w:p>
    <w:p>
      <w:pPr>
        <w:spacing w:line="195" w:lineRule="exact" w:before="95"/>
        <w:ind w:left="245" w:right="0" w:firstLine="0"/>
        <w:jc w:val="left"/>
        <w:rPr>
          <w:rFonts w:ascii="Arial"/>
          <w:sz w:val="17"/>
        </w:rPr>
      </w:pPr>
      <w:r>
        <w:rPr/>
        <w:br w:type="column"/>
      </w:r>
      <w:r>
        <w:rPr>
          <w:rFonts w:ascii="Arial"/>
          <w:color w:val="4C4C4C"/>
          <w:sz w:val="17"/>
        </w:rPr>
        <w:t>Telephone: +61 3 9342 8530</w:t>
      </w:r>
    </w:p>
    <w:p>
      <w:pPr>
        <w:spacing w:before="0"/>
        <w:ind w:left="245" w:right="637" w:firstLine="0"/>
        <w:jc w:val="left"/>
        <w:rPr>
          <w:rFonts w:ascii="Arial"/>
          <w:sz w:val="17"/>
        </w:rPr>
      </w:pPr>
      <w:r>
        <w:rPr>
          <w:rFonts w:ascii="Arial"/>
          <w:color w:val="4C4C4C"/>
          <w:sz w:val="17"/>
        </w:rPr>
        <w:t>Facsimile: +61 3 9342 8548 Email: </w:t>
      </w:r>
      <w:hyperlink r:id="rId6">
        <w:r>
          <w:rPr>
            <w:rFonts w:ascii="Arial"/>
            <w:color w:val="4C4C4C"/>
            <w:sz w:val="17"/>
          </w:rPr>
          <w:t>research@mh.org.au</w:t>
        </w:r>
      </w:hyperlink>
    </w:p>
    <w:p>
      <w:pPr>
        <w:spacing w:before="81"/>
        <w:ind w:left="245" w:right="0" w:firstLine="0"/>
        <w:jc w:val="left"/>
        <w:rPr>
          <w:rFonts w:ascii="Arial"/>
          <w:b/>
          <w:sz w:val="17"/>
        </w:rPr>
      </w:pPr>
      <w:r>
        <w:rPr>
          <w:rFonts w:ascii="Arial"/>
          <w:b/>
          <w:color w:val="4C4C4C"/>
          <w:sz w:val="17"/>
        </w:rPr>
        <w:t>thermh.org.au</w:t>
      </w:r>
    </w:p>
    <w:p>
      <w:pPr>
        <w:spacing w:before="78"/>
        <w:ind w:left="245" w:right="0" w:firstLine="0"/>
        <w:jc w:val="left"/>
        <w:rPr>
          <w:rFonts w:ascii="Arial"/>
          <w:sz w:val="17"/>
        </w:rPr>
      </w:pPr>
      <w:r>
        <w:rPr>
          <w:rFonts w:ascii="Arial"/>
          <w:color w:val="4C4C4C"/>
          <w:sz w:val="17"/>
        </w:rPr>
        <w:t>ABN 73 802 706 972</w:t>
      </w:r>
    </w:p>
    <w:p>
      <w:pPr>
        <w:spacing w:after="0"/>
        <w:jc w:val="left"/>
        <w:rPr>
          <w:rFonts w:ascii="Arial"/>
          <w:sz w:val="17"/>
        </w:rPr>
        <w:sectPr>
          <w:type w:val="continuous"/>
          <w:pgSz w:w="11900" w:h="16850"/>
          <w:pgMar w:top="140" w:bottom="0" w:left="0" w:right="40"/>
          <w:cols w:num="2" w:equalWidth="0">
            <w:col w:w="8799" w:space="40"/>
            <w:col w:w="3021"/>
          </w:cols>
        </w:sectPr>
      </w:pPr>
    </w:p>
    <w:p>
      <w:pPr>
        <w:pStyle w:val="BodyText"/>
        <w:spacing w:before="4"/>
        <w:rPr>
          <w:rFonts w:ascii="Arial"/>
          <w:sz w:val="13"/>
        </w:rPr>
      </w:pPr>
      <w:r>
        <w:rPr/>
        <w:drawing>
          <wp:anchor distT="0" distB="0" distL="0" distR="0" allowOverlap="1" layoutInCell="1" locked="0" behindDoc="1" simplePos="0" relativeHeight="268430303">
            <wp:simplePos x="0" y="0"/>
            <wp:positionH relativeFrom="page">
              <wp:posOffset>0</wp:posOffset>
            </wp:positionH>
            <wp:positionV relativeFrom="page">
              <wp:posOffset>9475470</wp:posOffset>
            </wp:positionV>
            <wp:extent cx="7456168" cy="1218437"/>
            <wp:effectExtent l="0" t="0" r="0" b="0"/>
            <wp:wrapNone/>
            <wp:docPr id="3" name="image2.jpeg" descr=""/>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7456168" cy="1218437"/>
                    </a:xfrm>
                    <a:prstGeom prst="rect">
                      <a:avLst/>
                    </a:prstGeom>
                  </pic:spPr>
                </pic:pic>
              </a:graphicData>
            </a:graphic>
          </wp:anchor>
        </w:drawing>
      </w:r>
    </w:p>
    <w:p>
      <w:pPr>
        <w:spacing w:line="480" w:lineRule="auto" w:before="52"/>
        <w:ind w:left="5167" w:right="3364" w:hanging="1745"/>
        <w:jc w:val="left"/>
        <w:rPr>
          <w:b/>
          <w:sz w:val="19"/>
        </w:rPr>
      </w:pPr>
      <w:r>
        <w:rPr>
          <w:b/>
          <w:sz w:val="24"/>
        </w:rPr>
        <w:t>M</w:t>
      </w:r>
      <w:r>
        <w:rPr>
          <w:b/>
          <w:sz w:val="19"/>
        </w:rPr>
        <w:t>ELBOURNE </w:t>
      </w:r>
      <w:r>
        <w:rPr>
          <w:b/>
          <w:sz w:val="24"/>
        </w:rPr>
        <w:t>H</w:t>
      </w:r>
      <w:r>
        <w:rPr>
          <w:b/>
          <w:sz w:val="19"/>
        </w:rPr>
        <w:t>EALTH </w:t>
      </w:r>
      <w:r>
        <w:rPr>
          <w:b/>
          <w:sz w:val="24"/>
        </w:rPr>
        <w:t>H</w:t>
      </w:r>
      <w:r>
        <w:rPr>
          <w:b/>
          <w:sz w:val="19"/>
        </w:rPr>
        <w:t>UMAN </w:t>
      </w:r>
      <w:r>
        <w:rPr>
          <w:b/>
          <w:sz w:val="24"/>
        </w:rPr>
        <w:t>R</w:t>
      </w:r>
      <w:r>
        <w:rPr>
          <w:b/>
          <w:sz w:val="19"/>
        </w:rPr>
        <w:t>ESEARCH </w:t>
      </w:r>
      <w:r>
        <w:rPr>
          <w:b/>
          <w:sz w:val="24"/>
        </w:rPr>
        <w:t>E</w:t>
      </w:r>
      <w:r>
        <w:rPr>
          <w:b/>
          <w:sz w:val="19"/>
        </w:rPr>
        <w:t>THICS </w:t>
      </w:r>
      <w:r>
        <w:rPr>
          <w:b/>
          <w:sz w:val="24"/>
        </w:rPr>
        <w:t>C</w:t>
      </w:r>
      <w:r>
        <w:rPr>
          <w:b/>
          <w:sz w:val="19"/>
        </w:rPr>
        <w:t>OMMITTEE </w:t>
      </w:r>
      <w:r>
        <w:rPr>
          <w:b/>
          <w:sz w:val="24"/>
        </w:rPr>
        <w:t>E</w:t>
      </w:r>
      <w:r>
        <w:rPr>
          <w:b/>
          <w:sz w:val="19"/>
        </w:rPr>
        <w:t>THICAL </w:t>
      </w:r>
      <w:r>
        <w:rPr>
          <w:b/>
          <w:sz w:val="24"/>
        </w:rPr>
        <w:t>A</w:t>
      </w:r>
      <w:r>
        <w:rPr>
          <w:b/>
          <w:sz w:val="19"/>
        </w:rPr>
        <w:t>PPROVAL</w:t>
      </w:r>
    </w:p>
    <w:p>
      <w:pPr>
        <w:pStyle w:val="BodyText"/>
        <w:spacing w:before="193"/>
        <w:ind w:left="1800"/>
      </w:pPr>
      <w:r>
        <w:rPr/>
        <w:t>Professor Colin Royse</w:t>
      </w:r>
    </w:p>
    <w:p>
      <w:pPr>
        <w:pStyle w:val="BodyText"/>
        <w:ind w:left="1799" w:right="7141"/>
      </w:pPr>
      <w:r>
        <w:rPr/>
        <w:t>Level 6, Centre of Medical Research 300 Grattan Street</w:t>
      </w:r>
    </w:p>
    <w:p>
      <w:pPr>
        <w:pStyle w:val="BodyText"/>
        <w:ind w:left="1799"/>
      </w:pPr>
      <w:r>
        <w:rPr/>
        <w:t>Parkville VIC 3050</w:t>
      </w:r>
    </w:p>
    <w:p>
      <w:pPr>
        <w:pStyle w:val="BodyText"/>
        <w:spacing w:before="10"/>
        <w:rPr>
          <w:sz w:val="19"/>
        </w:rPr>
      </w:pPr>
    </w:p>
    <w:p>
      <w:pPr>
        <w:pStyle w:val="BodyText"/>
        <w:ind w:left="1800"/>
      </w:pPr>
      <w:r>
        <w:rPr/>
        <w:t>28 June 2018</w:t>
      </w:r>
    </w:p>
    <w:p>
      <w:pPr>
        <w:pStyle w:val="BodyText"/>
        <w:spacing w:before="10"/>
        <w:rPr>
          <w:sz w:val="19"/>
        </w:rPr>
      </w:pPr>
    </w:p>
    <w:p>
      <w:pPr>
        <w:pStyle w:val="BodyText"/>
        <w:ind w:left="1800"/>
      </w:pPr>
      <w:r>
        <w:rPr/>
        <w:t>Dear Professor Colin Royse,</w:t>
      </w:r>
    </w:p>
    <w:p>
      <w:pPr>
        <w:pStyle w:val="BodyText"/>
      </w:pPr>
    </w:p>
    <w:p>
      <w:pPr>
        <w:spacing w:before="0"/>
        <w:ind w:left="1800" w:right="0" w:firstLine="0"/>
        <w:jc w:val="left"/>
        <w:rPr>
          <w:sz w:val="20"/>
        </w:rPr>
      </w:pPr>
      <w:r>
        <w:rPr>
          <w:b/>
          <w:sz w:val="20"/>
        </w:rPr>
        <w:t>HREC Reference Number: </w:t>
      </w:r>
      <w:r>
        <w:rPr>
          <w:sz w:val="20"/>
        </w:rPr>
        <w:t>HREC/18/MH/269</w:t>
      </w:r>
    </w:p>
    <w:p>
      <w:pPr>
        <w:pStyle w:val="BodyText"/>
        <w:spacing w:before="10"/>
        <w:rPr>
          <w:sz w:val="19"/>
        </w:rPr>
      </w:pPr>
    </w:p>
    <w:p>
      <w:pPr>
        <w:pStyle w:val="Heading1"/>
        <w:ind w:left="1799"/>
        <w:rPr>
          <w:b w:val="0"/>
        </w:rPr>
      </w:pPr>
      <w:r>
        <w:rPr/>
        <w:t>Melbourne Health Site Reference Number: </w:t>
      </w:r>
      <w:r>
        <w:rPr>
          <w:b w:val="0"/>
        </w:rPr>
        <w:t>2018.200</w:t>
      </w:r>
    </w:p>
    <w:p>
      <w:pPr>
        <w:pStyle w:val="BodyText"/>
      </w:pPr>
    </w:p>
    <w:p>
      <w:pPr>
        <w:pStyle w:val="BodyText"/>
        <w:ind w:left="1800" w:right="1754"/>
      </w:pPr>
      <w:r>
        <w:rPr>
          <w:b/>
        </w:rPr>
        <w:t>Project Title: </w:t>
      </w:r>
      <w:r>
        <w:rPr/>
        <w:t>A randomised trial of focused cardiac, lung and femoral and popliteal vein ultrasound on the length of stay in internal medicine admissions with a cardiopulmonary diagnosis</w:t>
      </w:r>
    </w:p>
    <w:p>
      <w:pPr>
        <w:pStyle w:val="BodyText"/>
        <w:spacing w:before="5"/>
        <w:rPr>
          <w:sz w:val="18"/>
        </w:rPr>
      </w:pPr>
      <w:r>
        <w:rPr/>
        <w:pict>
          <v:line style="position:absolute;mso-position-horizontal-relative:page;mso-position-vertical-relative:paragraph;z-index:0;mso-wrap-distance-left:0;mso-wrap-distance-right:0" from="88.559998pt,13.459415pt" to="506.399998pt,13.459415pt" stroked="true" strokeweight=".48pt" strokecolor="#000000">
            <v:stroke dashstyle="solid"/>
            <w10:wrap type="topAndBottom"/>
          </v:line>
        </w:pict>
      </w:r>
    </w:p>
    <w:p>
      <w:pPr>
        <w:pStyle w:val="BodyText"/>
        <w:spacing w:before="9"/>
        <w:rPr>
          <w:sz w:val="12"/>
        </w:rPr>
      </w:pPr>
    </w:p>
    <w:p>
      <w:pPr>
        <w:pStyle w:val="BodyText"/>
        <w:spacing w:before="59"/>
        <w:ind w:left="1800" w:right="1767"/>
      </w:pPr>
      <w:r>
        <w:rPr/>
        <w:t>I am pleased to advise that the above project has </w:t>
      </w:r>
      <w:r>
        <w:rPr>
          <w:b/>
        </w:rPr>
        <w:t>received ethical approval </w:t>
      </w:r>
      <w:r>
        <w:rPr/>
        <w:t>from the Melbourne Health Human Research Ethics Committee (HREC). The HREC confirms that your proposal meets the requirements of the National Statement on Ethical Conduct in Human Research (2007). This HREC is organised and operates in accordance with the National Health and Medical Research Council’s (NHRMC) National Statement on Ethical Conduct in Human Research (2007), and all subsequent updates, and in accordance with the Note for Guidance on Good Clinical Practice (CPMP/ICH/135/95), the Health Privacy Principles described in the Health Records Act 2001 (Vic) and Section 95A of the Privacy Act 1988 (and subsequent Guidelines).</w:t>
      </w:r>
    </w:p>
    <w:p>
      <w:pPr>
        <w:pStyle w:val="BodyText"/>
        <w:spacing w:before="1"/>
      </w:pPr>
    </w:p>
    <w:p>
      <w:pPr>
        <w:spacing w:before="0"/>
        <w:ind w:left="1800" w:right="0" w:firstLine="0"/>
        <w:jc w:val="left"/>
        <w:rPr>
          <w:sz w:val="20"/>
        </w:rPr>
      </w:pPr>
      <w:r>
        <w:rPr>
          <w:b/>
          <w:sz w:val="20"/>
        </w:rPr>
        <w:t>HREC Approval Date: </w:t>
      </w:r>
      <w:r>
        <w:rPr>
          <w:sz w:val="20"/>
        </w:rPr>
        <w:t>27 June 2018</w:t>
      </w:r>
    </w:p>
    <w:p>
      <w:pPr>
        <w:pStyle w:val="BodyText"/>
        <w:spacing w:before="11"/>
        <w:rPr>
          <w:sz w:val="19"/>
        </w:rPr>
      </w:pPr>
    </w:p>
    <w:p>
      <w:pPr>
        <w:pStyle w:val="Heading1"/>
        <w:ind w:left="1800"/>
      </w:pPr>
      <w:r>
        <w:rPr/>
        <w:t>Ethical approval for this project applies at the following sites:</w:t>
      </w:r>
    </w:p>
    <w:p>
      <w:pPr>
        <w:pStyle w:val="BodyText"/>
        <w:spacing w:before="1"/>
        <w:rPr>
          <w:b/>
        </w:rPr>
      </w:pPr>
    </w:p>
    <w:tbl>
      <w:tblPr>
        <w:tblW w:w="0" w:type="auto"/>
        <w:jc w:val="left"/>
        <w:tblInd w:w="1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82"/>
      </w:tblGrid>
      <w:tr>
        <w:trPr>
          <w:trHeight w:val="240" w:hRule="atLeast"/>
        </w:trPr>
        <w:tc>
          <w:tcPr>
            <w:tcW w:w="8182" w:type="dxa"/>
            <w:shd w:val="clear" w:color="auto" w:fill="DADADA"/>
          </w:tcPr>
          <w:p>
            <w:pPr>
              <w:pStyle w:val="TableParagraph"/>
              <w:spacing w:line="222" w:lineRule="exact"/>
              <w:rPr>
                <w:b/>
                <w:sz w:val="20"/>
              </w:rPr>
            </w:pPr>
            <w:r>
              <w:rPr>
                <w:b/>
                <w:sz w:val="20"/>
              </w:rPr>
              <w:t>Site</w:t>
            </w:r>
          </w:p>
        </w:tc>
      </w:tr>
      <w:tr>
        <w:trPr>
          <w:trHeight w:val="240" w:hRule="atLeast"/>
        </w:trPr>
        <w:tc>
          <w:tcPr>
            <w:tcW w:w="8182" w:type="dxa"/>
          </w:tcPr>
          <w:p>
            <w:pPr>
              <w:pStyle w:val="TableParagraph"/>
              <w:spacing w:line="225" w:lineRule="exact" w:before="1"/>
              <w:rPr>
                <w:sz w:val="20"/>
              </w:rPr>
            </w:pPr>
            <w:r>
              <w:rPr>
                <w:sz w:val="20"/>
              </w:rPr>
              <w:t>The Royal Melbourne Hospital</w:t>
            </w:r>
          </w:p>
        </w:tc>
      </w:tr>
    </w:tbl>
    <w:p>
      <w:pPr>
        <w:pStyle w:val="BodyText"/>
        <w:spacing w:before="9"/>
        <w:rPr>
          <w:b/>
          <w:sz w:val="19"/>
        </w:rPr>
      </w:pPr>
    </w:p>
    <w:p>
      <w:pPr>
        <w:spacing w:before="0"/>
        <w:ind w:left="1800" w:right="0" w:firstLine="0"/>
        <w:jc w:val="left"/>
        <w:rPr>
          <w:b/>
          <w:sz w:val="20"/>
        </w:rPr>
      </w:pPr>
      <w:r>
        <w:rPr>
          <w:b/>
          <w:sz w:val="20"/>
        </w:rPr>
        <w:t>Approved Documents:</w:t>
      </w:r>
    </w:p>
    <w:p>
      <w:pPr>
        <w:pStyle w:val="BodyText"/>
        <w:rPr>
          <w:b/>
        </w:rPr>
      </w:pPr>
    </w:p>
    <w:p>
      <w:pPr>
        <w:pStyle w:val="BodyText"/>
        <w:ind w:left="1799"/>
      </w:pPr>
      <w:r>
        <w:rPr/>
        <w:t>The following documents have been reviewed and approved:</w:t>
      </w:r>
    </w:p>
    <w:p>
      <w:pPr>
        <w:pStyle w:val="BodyText"/>
        <w:spacing w:before="11"/>
        <w:rPr>
          <w:sz w:val="19"/>
        </w:rPr>
      </w:pPr>
    </w:p>
    <w:tbl>
      <w:tblPr>
        <w:tblW w:w="0" w:type="auto"/>
        <w:jc w:val="left"/>
        <w:tblInd w:w="1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071"/>
        <w:gridCol w:w="1298"/>
        <w:gridCol w:w="1812"/>
      </w:tblGrid>
      <w:tr>
        <w:trPr>
          <w:trHeight w:val="240" w:hRule="atLeast"/>
        </w:trPr>
        <w:tc>
          <w:tcPr>
            <w:tcW w:w="5071" w:type="dxa"/>
            <w:shd w:val="clear" w:color="auto" w:fill="DADADA"/>
          </w:tcPr>
          <w:p>
            <w:pPr>
              <w:pStyle w:val="TableParagraph"/>
              <w:rPr>
                <w:b/>
                <w:sz w:val="20"/>
              </w:rPr>
            </w:pPr>
            <w:r>
              <w:rPr>
                <w:b/>
                <w:sz w:val="20"/>
              </w:rPr>
              <w:t>Document</w:t>
            </w:r>
          </w:p>
        </w:tc>
        <w:tc>
          <w:tcPr>
            <w:tcW w:w="1298" w:type="dxa"/>
            <w:shd w:val="clear" w:color="auto" w:fill="DADADA"/>
          </w:tcPr>
          <w:p>
            <w:pPr>
              <w:pStyle w:val="TableParagraph"/>
              <w:rPr>
                <w:b/>
                <w:sz w:val="20"/>
              </w:rPr>
            </w:pPr>
            <w:r>
              <w:rPr>
                <w:b/>
                <w:sz w:val="20"/>
              </w:rPr>
              <w:t>Version</w:t>
            </w:r>
          </w:p>
        </w:tc>
        <w:tc>
          <w:tcPr>
            <w:tcW w:w="1812" w:type="dxa"/>
            <w:shd w:val="clear" w:color="auto" w:fill="DADADA"/>
          </w:tcPr>
          <w:p>
            <w:pPr>
              <w:pStyle w:val="TableParagraph"/>
              <w:rPr>
                <w:b/>
                <w:sz w:val="20"/>
              </w:rPr>
            </w:pPr>
            <w:r>
              <w:rPr>
                <w:b/>
                <w:sz w:val="20"/>
              </w:rPr>
              <w:t>Date</w:t>
            </w:r>
          </w:p>
        </w:tc>
      </w:tr>
      <w:tr>
        <w:trPr>
          <w:trHeight w:val="240" w:hRule="atLeast"/>
        </w:trPr>
        <w:tc>
          <w:tcPr>
            <w:tcW w:w="5071" w:type="dxa"/>
          </w:tcPr>
          <w:p>
            <w:pPr>
              <w:pStyle w:val="TableParagraph"/>
              <w:rPr>
                <w:sz w:val="20"/>
              </w:rPr>
            </w:pPr>
            <w:r>
              <w:rPr>
                <w:sz w:val="20"/>
              </w:rPr>
              <w:t>Protocol</w:t>
            </w:r>
          </w:p>
        </w:tc>
        <w:tc>
          <w:tcPr>
            <w:tcW w:w="1298" w:type="dxa"/>
          </w:tcPr>
          <w:p>
            <w:pPr>
              <w:pStyle w:val="TableParagraph"/>
              <w:rPr>
                <w:sz w:val="20"/>
              </w:rPr>
            </w:pPr>
            <w:r>
              <w:rPr>
                <w:w w:val="99"/>
                <w:sz w:val="20"/>
              </w:rPr>
              <w:t>2</w:t>
            </w:r>
          </w:p>
        </w:tc>
        <w:tc>
          <w:tcPr>
            <w:tcW w:w="1812" w:type="dxa"/>
          </w:tcPr>
          <w:p>
            <w:pPr>
              <w:pStyle w:val="TableParagraph"/>
              <w:rPr>
                <w:sz w:val="20"/>
              </w:rPr>
            </w:pPr>
            <w:r>
              <w:rPr>
                <w:sz w:val="20"/>
              </w:rPr>
              <w:t>20 May 2018</w:t>
            </w:r>
          </w:p>
        </w:tc>
      </w:tr>
      <w:tr>
        <w:trPr>
          <w:trHeight w:val="240" w:hRule="atLeast"/>
        </w:trPr>
        <w:tc>
          <w:tcPr>
            <w:tcW w:w="5071" w:type="dxa"/>
          </w:tcPr>
          <w:p>
            <w:pPr>
              <w:pStyle w:val="TableParagraph"/>
              <w:rPr>
                <w:sz w:val="20"/>
              </w:rPr>
            </w:pPr>
            <w:r>
              <w:rPr>
                <w:sz w:val="20"/>
              </w:rPr>
              <w:t>Participant Information Sheet and Consent Form</w:t>
            </w:r>
          </w:p>
        </w:tc>
        <w:tc>
          <w:tcPr>
            <w:tcW w:w="1298" w:type="dxa"/>
          </w:tcPr>
          <w:p>
            <w:pPr>
              <w:pStyle w:val="TableParagraph"/>
              <w:rPr>
                <w:sz w:val="20"/>
              </w:rPr>
            </w:pPr>
            <w:r>
              <w:rPr>
                <w:w w:val="99"/>
                <w:sz w:val="20"/>
              </w:rPr>
              <w:t>2</w:t>
            </w:r>
          </w:p>
        </w:tc>
        <w:tc>
          <w:tcPr>
            <w:tcW w:w="1812" w:type="dxa"/>
          </w:tcPr>
          <w:p>
            <w:pPr>
              <w:pStyle w:val="TableParagraph"/>
              <w:rPr>
                <w:sz w:val="20"/>
              </w:rPr>
            </w:pPr>
            <w:r>
              <w:rPr>
                <w:sz w:val="20"/>
              </w:rPr>
              <w:t>18 June 2018</w:t>
            </w:r>
          </w:p>
        </w:tc>
      </w:tr>
      <w:tr>
        <w:trPr>
          <w:trHeight w:val="240" w:hRule="atLeast"/>
        </w:trPr>
        <w:tc>
          <w:tcPr>
            <w:tcW w:w="5071" w:type="dxa"/>
          </w:tcPr>
          <w:p>
            <w:pPr>
              <w:pStyle w:val="TableParagraph"/>
              <w:rPr>
                <w:sz w:val="20"/>
              </w:rPr>
            </w:pPr>
            <w:r>
              <w:rPr>
                <w:sz w:val="20"/>
              </w:rPr>
              <w:t>2018.200 iHeart iLung veins form highlight</w:t>
            </w:r>
          </w:p>
        </w:tc>
        <w:tc>
          <w:tcPr>
            <w:tcW w:w="1298" w:type="dxa"/>
          </w:tcPr>
          <w:p>
            <w:pPr>
              <w:pStyle w:val="TableParagraph"/>
              <w:rPr>
                <w:sz w:val="20"/>
              </w:rPr>
            </w:pPr>
            <w:r>
              <w:rPr>
                <w:w w:val="99"/>
                <w:sz w:val="20"/>
              </w:rPr>
              <w:t>1</w:t>
            </w:r>
          </w:p>
        </w:tc>
        <w:tc>
          <w:tcPr>
            <w:tcW w:w="1812" w:type="dxa"/>
          </w:tcPr>
          <w:p>
            <w:pPr>
              <w:pStyle w:val="TableParagraph"/>
              <w:rPr>
                <w:sz w:val="20"/>
              </w:rPr>
            </w:pPr>
            <w:r>
              <w:rPr>
                <w:sz w:val="20"/>
              </w:rPr>
              <w:t>28 May 2018</w:t>
            </w:r>
          </w:p>
        </w:tc>
      </w:tr>
      <w:tr>
        <w:trPr>
          <w:trHeight w:val="240" w:hRule="atLeast"/>
        </w:trPr>
        <w:tc>
          <w:tcPr>
            <w:tcW w:w="5071" w:type="dxa"/>
          </w:tcPr>
          <w:p>
            <w:pPr>
              <w:pStyle w:val="TableParagraph"/>
              <w:rPr>
                <w:sz w:val="20"/>
              </w:rPr>
            </w:pPr>
            <w:r>
              <w:rPr>
                <w:sz w:val="20"/>
              </w:rPr>
              <w:t>Case Report Form IMFCU</w:t>
            </w:r>
          </w:p>
        </w:tc>
        <w:tc>
          <w:tcPr>
            <w:tcW w:w="1298" w:type="dxa"/>
          </w:tcPr>
          <w:p>
            <w:pPr>
              <w:pStyle w:val="TableParagraph"/>
              <w:rPr>
                <w:sz w:val="20"/>
              </w:rPr>
            </w:pPr>
            <w:r>
              <w:rPr>
                <w:w w:val="99"/>
                <w:sz w:val="20"/>
              </w:rPr>
              <w:t>1</w:t>
            </w:r>
          </w:p>
        </w:tc>
        <w:tc>
          <w:tcPr>
            <w:tcW w:w="1812" w:type="dxa"/>
          </w:tcPr>
          <w:p>
            <w:pPr>
              <w:pStyle w:val="TableParagraph"/>
              <w:rPr>
                <w:sz w:val="20"/>
              </w:rPr>
            </w:pPr>
            <w:r>
              <w:rPr>
                <w:sz w:val="20"/>
              </w:rPr>
              <w:t>20 May 2018</w:t>
            </w:r>
          </w:p>
        </w:tc>
      </w:tr>
    </w:tbl>
    <w:p>
      <w:pPr>
        <w:spacing w:after="0"/>
        <w:rPr>
          <w:sz w:val="20"/>
        </w:rPr>
        <w:sectPr>
          <w:type w:val="continuous"/>
          <w:pgSz w:w="11900" w:h="16850"/>
          <w:pgMar w:top="140" w:bottom="0" w:left="0" w:right="40"/>
        </w:sectPr>
      </w:pPr>
    </w:p>
    <w:p>
      <w:pPr>
        <w:pStyle w:val="BodyText"/>
      </w:pPr>
    </w:p>
    <w:p>
      <w:pPr>
        <w:pStyle w:val="BodyText"/>
      </w:pPr>
    </w:p>
    <w:p>
      <w:pPr>
        <w:pStyle w:val="BodyText"/>
      </w:pPr>
    </w:p>
    <w:p>
      <w:pPr>
        <w:pStyle w:val="BodyText"/>
      </w:pPr>
    </w:p>
    <w:p>
      <w:pPr>
        <w:pStyle w:val="BodyText"/>
      </w:pPr>
    </w:p>
    <w:p>
      <w:pPr>
        <w:pStyle w:val="BodyText"/>
        <w:spacing w:before="2"/>
        <w:rPr>
          <w:sz w:val="16"/>
        </w:rPr>
      </w:pPr>
    </w:p>
    <w:p>
      <w:pPr>
        <w:pStyle w:val="Heading1"/>
        <w:spacing w:before="59"/>
      </w:pPr>
      <w:r>
        <w:rPr/>
        <w:t>Governance Authorisation:</w:t>
      </w:r>
    </w:p>
    <w:p>
      <w:pPr>
        <w:pStyle w:val="BodyText"/>
        <w:rPr>
          <w:b/>
        </w:rPr>
      </w:pPr>
    </w:p>
    <w:p>
      <w:pPr>
        <w:pStyle w:val="BodyText"/>
        <w:ind w:left="120" w:right="289"/>
      </w:pPr>
      <w:r>
        <w:rPr/>
        <w:t>Governance Authorisation is required at each site participating in the study before the research project can commence at that site.</w:t>
      </w:r>
    </w:p>
    <w:p>
      <w:pPr>
        <w:pStyle w:val="BodyText"/>
        <w:spacing w:before="10"/>
        <w:rPr>
          <w:sz w:val="19"/>
        </w:rPr>
      </w:pPr>
    </w:p>
    <w:p>
      <w:pPr>
        <w:pStyle w:val="BodyText"/>
        <w:ind w:left="120" w:right="289"/>
      </w:pPr>
      <w:r>
        <w:rPr/>
        <w:t>You are required to provide a copy of this HREC approval letter to the principal investigator for each site covered by this ethics approval for inclusion in the site specific assessment application.</w:t>
      </w:r>
    </w:p>
    <w:p>
      <w:pPr>
        <w:pStyle w:val="BodyText"/>
        <w:spacing w:before="10"/>
        <w:rPr>
          <w:sz w:val="19"/>
        </w:rPr>
      </w:pPr>
    </w:p>
    <w:p>
      <w:pPr>
        <w:pStyle w:val="Heading1"/>
      </w:pPr>
      <w:r>
        <w:rPr/>
        <w:t>Conditions of Ethics Approval:</w:t>
      </w:r>
    </w:p>
    <w:p>
      <w:pPr>
        <w:pStyle w:val="BodyText"/>
        <w:spacing w:before="1"/>
        <w:rPr>
          <w:b/>
        </w:rPr>
      </w:pPr>
    </w:p>
    <w:p>
      <w:pPr>
        <w:pStyle w:val="ListParagraph"/>
        <w:numPr>
          <w:ilvl w:val="0"/>
          <w:numId w:val="1"/>
        </w:numPr>
        <w:tabs>
          <w:tab w:pos="460" w:val="left" w:leader="none"/>
          <w:tab w:pos="461" w:val="left" w:leader="none"/>
        </w:tabs>
        <w:spacing w:line="255" w:lineRule="exact" w:before="1" w:after="0"/>
        <w:ind w:left="460" w:right="0" w:hanging="340"/>
        <w:jc w:val="left"/>
        <w:rPr>
          <w:sz w:val="20"/>
        </w:rPr>
      </w:pPr>
      <w:r>
        <w:rPr>
          <w:sz w:val="20"/>
        </w:rPr>
        <w:t>You are required to submit to the</w:t>
      </w:r>
      <w:r>
        <w:rPr>
          <w:spacing w:val="-18"/>
          <w:sz w:val="20"/>
        </w:rPr>
        <w:t> </w:t>
      </w:r>
      <w:r>
        <w:rPr>
          <w:sz w:val="20"/>
        </w:rPr>
        <w:t>HREC:</w:t>
      </w:r>
    </w:p>
    <w:p>
      <w:pPr>
        <w:pStyle w:val="ListParagraph"/>
        <w:numPr>
          <w:ilvl w:val="1"/>
          <w:numId w:val="1"/>
        </w:numPr>
        <w:tabs>
          <w:tab w:pos="1180" w:val="left" w:leader="none"/>
          <w:tab w:pos="1181" w:val="left" w:leader="none"/>
        </w:tabs>
        <w:spacing w:line="240" w:lineRule="auto" w:before="0" w:after="0"/>
        <w:ind w:left="1180" w:right="292" w:hanging="341"/>
        <w:jc w:val="left"/>
        <w:rPr>
          <w:sz w:val="20"/>
        </w:rPr>
      </w:pPr>
      <w:r>
        <w:rPr>
          <w:sz w:val="20"/>
        </w:rPr>
        <w:t>An Annual Progress Report (that covers all sites listed on approval) for the duration of the project. This report is due on the anniversary of HREC approval. Continuation of ethics approval is contingent on submission of an annual report, due within one month of the approval anniversary. Failure to comply with this requirement may result in suspension of the project by the</w:t>
      </w:r>
      <w:r>
        <w:rPr>
          <w:spacing w:val="-21"/>
          <w:sz w:val="20"/>
        </w:rPr>
        <w:t> </w:t>
      </w:r>
      <w:r>
        <w:rPr>
          <w:sz w:val="20"/>
        </w:rPr>
        <w:t>HREC.</w:t>
      </w:r>
    </w:p>
    <w:p>
      <w:pPr>
        <w:pStyle w:val="ListParagraph"/>
        <w:numPr>
          <w:ilvl w:val="1"/>
          <w:numId w:val="1"/>
        </w:numPr>
        <w:tabs>
          <w:tab w:pos="1180" w:val="left" w:leader="none"/>
          <w:tab w:pos="1181" w:val="left" w:leader="none"/>
        </w:tabs>
        <w:spacing w:line="255" w:lineRule="exact" w:before="2" w:after="0"/>
        <w:ind w:left="1180" w:right="0" w:hanging="341"/>
        <w:jc w:val="left"/>
        <w:rPr>
          <w:sz w:val="20"/>
        </w:rPr>
      </w:pPr>
      <w:r>
        <w:rPr>
          <w:sz w:val="20"/>
        </w:rPr>
        <w:t>A comprehensive Final Report upon completion of the</w:t>
      </w:r>
      <w:r>
        <w:rPr>
          <w:spacing w:val="-31"/>
          <w:sz w:val="20"/>
        </w:rPr>
        <w:t> </w:t>
      </w:r>
      <w:r>
        <w:rPr>
          <w:sz w:val="20"/>
        </w:rPr>
        <w:t>project.</w:t>
      </w:r>
    </w:p>
    <w:p>
      <w:pPr>
        <w:pStyle w:val="ListParagraph"/>
        <w:numPr>
          <w:ilvl w:val="0"/>
          <w:numId w:val="1"/>
        </w:numPr>
        <w:tabs>
          <w:tab w:pos="460" w:val="left" w:leader="none"/>
          <w:tab w:pos="461" w:val="left" w:leader="none"/>
        </w:tabs>
        <w:spacing w:line="240" w:lineRule="auto" w:before="0" w:after="0"/>
        <w:ind w:left="460" w:right="386" w:hanging="340"/>
        <w:jc w:val="left"/>
        <w:rPr>
          <w:sz w:val="20"/>
        </w:rPr>
      </w:pPr>
      <w:r>
        <w:rPr>
          <w:sz w:val="20"/>
        </w:rPr>
        <w:t>Submit to the reviewing HREC for approval any proposed amendments to the project including any proposed changes to the Protocol, Participant Information and Consent Form/s and the Investigator</w:t>
      </w:r>
      <w:r>
        <w:rPr>
          <w:spacing w:val="-15"/>
          <w:sz w:val="20"/>
        </w:rPr>
        <w:t> </w:t>
      </w:r>
      <w:r>
        <w:rPr>
          <w:sz w:val="20"/>
        </w:rPr>
        <w:t>Brochure.</w:t>
      </w:r>
    </w:p>
    <w:p>
      <w:pPr>
        <w:pStyle w:val="ListParagraph"/>
        <w:numPr>
          <w:ilvl w:val="0"/>
          <w:numId w:val="1"/>
        </w:numPr>
        <w:tabs>
          <w:tab w:pos="461" w:val="left" w:leader="none"/>
        </w:tabs>
        <w:spacing w:line="240" w:lineRule="auto" w:before="2" w:after="0"/>
        <w:ind w:left="460" w:right="353" w:hanging="340"/>
        <w:jc w:val="both"/>
        <w:rPr>
          <w:sz w:val="20"/>
        </w:rPr>
      </w:pPr>
      <w:r>
        <w:rPr>
          <w:sz w:val="20"/>
        </w:rPr>
        <w:t>Notify the reviewing HREC of any adverse events that have a material impact on the conduct of the research in accordance with the NHMRC's Safety Monitoring and Reporting in Clinical Trials Involving Therapeutic Goods (2016)</w:t>
      </w:r>
      <w:r>
        <w:rPr>
          <w:spacing w:val="-29"/>
          <w:sz w:val="20"/>
        </w:rPr>
        <w:t> </w:t>
      </w:r>
      <w:r>
        <w:rPr>
          <w:sz w:val="20"/>
        </w:rPr>
        <w:t>guideline.</w:t>
      </w:r>
    </w:p>
    <w:p>
      <w:pPr>
        <w:pStyle w:val="ListParagraph"/>
        <w:numPr>
          <w:ilvl w:val="0"/>
          <w:numId w:val="1"/>
        </w:numPr>
        <w:tabs>
          <w:tab w:pos="460" w:val="left" w:leader="none"/>
          <w:tab w:pos="461" w:val="left" w:leader="none"/>
        </w:tabs>
        <w:spacing w:line="254" w:lineRule="exact" w:before="0" w:after="0"/>
        <w:ind w:left="460" w:right="0" w:hanging="340"/>
        <w:jc w:val="left"/>
        <w:rPr>
          <w:sz w:val="20"/>
        </w:rPr>
      </w:pPr>
      <w:r>
        <w:rPr>
          <w:sz w:val="20"/>
        </w:rPr>
        <w:t>Notify</w:t>
      </w:r>
      <w:r>
        <w:rPr>
          <w:spacing w:val="-4"/>
          <w:sz w:val="20"/>
        </w:rPr>
        <w:t> </w:t>
      </w:r>
      <w:r>
        <w:rPr>
          <w:sz w:val="20"/>
        </w:rPr>
        <w:t>the</w:t>
      </w:r>
      <w:r>
        <w:rPr>
          <w:spacing w:val="-5"/>
          <w:sz w:val="20"/>
        </w:rPr>
        <w:t> </w:t>
      </w:r>
      <w:r>
        <w:rPr>
          <w:sz w:val="20"/>
        </w:rPr>
        <w:t>reviewing</w:t>
      </w:r>
      <w:r>
        <w:rPr>
          <w:spacing w:val="-4"/>
          <w:sz w:val="20"/>
        </w:rPr>
        <w:t> </w:t>
      </w:r>
      <w:r>
        <w:rPr>
          <w:sz w:val="20"/>
        </w:rPr>
        <w:t>HREC</w:t>
      </w:r>
      <w:r>
        <w:rPr>
          <w:spacing w:val="-5"/>
          <w:sz w:val="20"/>
        </w:rPr>
        <w:t> </w:t>
      </w:r>
      <w:r>
        <w:rPr>
          <w:sz w:val="20"/>
        </w:rPr>
        <w:t>of</w:t>
      </w:r>
      <w:r>
        <w:rPr>
          <w:spacing w:val="-5"/>
          <w:sz w:val="20"/>
        </w:rPr>
        <w:t> </w:t>
      </w:r>
      <w:r>
        <w:rPr>
          <w:sz w:val="20"/>
        </w:rPr>
        <w:t>your</w:t>
      </w:r>
      <w:r>
        <w:rPr>
          <w:spacing w:val="-4"/>
          <w:sz w:val="20"/>
        </w:rPr>
        <w:t> </w:t>
      </w:r>
      <w:r>
        <w:rPr>
          <w:sz w:val="20"/>
        </w:rPr>
        <w:t>inability</w:t>
      </w:r>
      <w:r>
        <w:rPr>
          <w:spacing w:val="-4"/>
          <w:sz w:val="20"/>
        </w:rPr>
        <w:t> </w:t>
      </w:r>
      <w:r>
        <w:rPr>
          <w:sz w:val="20"/>
        </w:rPr>
        <w:t>to</w:t>
      </w:r>
      <w:r>
        <w:rPr>
          <w:spacing w:val="-4"/>
          <w:sz w:val="20"/>
        </w:rPr>
        <w:t> </w:t>
      </w:r>
      <w:r>
        <w:rPr>
          <w:sz w:val="20"/>
        </w:rPr>
        <w:t>continue</w:t>
      </w:r>
      <w:r>
        <w:rPr>
          <w:spacing w:val="-5"/>
          <w:sz w:val="20"/>
        </w:rPr>
        <w:t> </w:t>
      </w:r>
      <w:r>
        <w:rPr>
          <w:sz w:val="20"/>
        </w:rPr>
        <w:t>as</w:t>
      </w:r>
      <w:r>
        <w:rPr>
          <w:spacing w:val="-5"/>
          <w:sz w:val="20"/>
        </w:rPr>
        <w:t> </w:t>
      </w:r>
      <w:r>
        <w:rPr>
          <w:sz w:val="20"/>
        </w:rPr>
        <w:t>Coordinating</w:t>
      </w:r>
      <w:r>
        <w:rPr>
          <w:spacing w:val="-4"/>
          <w:sz w:val="20"/>
        </w:rPr>
        <w:t> </w:t>
      </w:r>
      <w:r>
        <w:rPr>
          <w:sz w:val="20"/>
        </w:rPr>
        <w:t>Principal</w:t>
      </w:r>
      <w:r>
        <w:rPr>
          <w:spacing w:val="-4"/>
          <w:sz w:val="20"/>
        </w:rPr>
        <w:t> </w:t>
      </w:r>
      <w:r>
        <w:rPr>
          <w:sz w:val="20"/>
        </w:rPr>
        <w:t>Investigator.</w:t>
      </w:r>
    </w:p>
    <w:p>
      <w:pPr>
        <w:pStyle w:val="ListParagraph"/>
        <w:numPr>
          <w:ilvl w:val="0"/>
          <w:numId w:val="1"/>
        </w:numPr>
        <w:tabs>
          <w:tab w:pos="461" w:val="left" w:leader="none"/>
        </w:tabs>
        <w:spacing w:line="240" w:lineRule="auto" w:before="0" w:after="0"/>
        <w:ind w:left="460" w:right="392" w:hanging="340"/>
        <w:jc w:val="both"/>
        <w:rPr>
          <w:sz w:val="20"/>
        </w:rPr>
      </w:pPr>
      <w:r>
        <w:rPr>
          <w:sz w:val="20"/>
        </w:rPr>
        <w:t>Notify the reviewing HREC of the failure to commence the study within 12 months of the HREC approval date or if a decision is taken to end the study at any of the sites prior to the expected date of</w:t>
      </w:r>
      <w:r>
        <w:rPr>
          <w:spacing w:val="-13"/>
          <w:sz w:val="20"/>
        </w:rPr>
        <w:t> </w:t>
      </w:r>
      <w:r>
        <w:rPr>
          <w:sz w:val="20"/>
        </w:rPr>
        <w:t>completion.</w:t>
      </w:r>
    </w:p>
    <w:p>
      <w:pPr>
        <w:pStyle w:val="ListParagraph"/>
        <w:numPr>
          <w:ilvl w:val="0"/>
          <w:numId w:val="1"/>
        </w:numPr>
        <w:tabs>
          <w:tab w:pos="479" w:val="left" w:leader="none"/>
          <w:tab w:pos="480" w:val="left" w:leader="none"/>
        </w:tabs>
        <w:spacing w:line="255" w:lineRule="exact" w:before="2" w:after="0"/>
        <w:ind w:left="479" w:right="0" w:hanging="359"/>
        <w:jc w:val="left"/>
        <w:rPr>
          <w:sz w:val="20"/>
        </w:rPr>
      </w:pPr>
      <w:r>
        <w:rPr>
          <w:sz w:val="20"/>
        </w:rPr>
        <w:t>Notify</w:t>
      </w:r>
      <w:r>
        <w:rPr>
          <w:spacing w:val="-2"/>
          <w:sz w:val="20"/>
        </w:rPr>
        <w:t> </w:t>
      </w:r>
      <w:r>
        <w:rPr>
          <w:sz w:val="20"/>
        </w:rPr>
        <w:t>the</w:t>
      </w:r>
      <w:r>
        <w:rPr>
          <w:spacing w:val="-4"/>
          <w:sz w:val="20"/>
        </w:rPr>
        <w:t> </w:t>
      </w:r>
      <w:r>
        <w:rPr>
          <w:sz w:val="20"/>
        </w:rPr>
        <w:t>reviewing</w:t>
      </w:r>
      <w:r>
        <w:rPr>
          <w:spacing w:val="-3"/>
          <w:sz w:val="20"/>
        </w:rPr>
        <w:t> </w:t>
      </w:r>
      <w:r>
        <w:rPr>
          <w:sz w:val="20"/>
        </w:rPr>
        <w:t>HREC</w:t>
      </w:r>
      <w:r>
        <w:rPr>
          <w:spacing w:val="-4"/>
          <w:sz w:val="20"/>
        </w:rPr>
        <w:t> </w:t>
      </w:r>
      <w:r>
        <w:rPr>
          <w:sz w:val="20"/>
        </w:rPr>
        <w:t>of</w:t>
      </w:r>
      <w:r>
        <w:rPr>
          <w:spacing w:val="-4"/>
          <w:sz w:val="20"/>
        </w:rPr>
        <w:t> </w:t>
      </w:r>
      <w:r>
        <w:rPr>
          <w:sz w:val="20"/>
        </w:rPr>
        <w:t>any</w:t>
      </w:r>
      <w:r>
        <w:rPr>
          <w:spacing w:val="-2"/>
          <w:sz w:val="20"/>
        </w:rPr>
        <w:t> </w:t>
      </w:r>
      <w:r>
        <w:rPr>
          <w:sz w:val="20"/>
        </w:rPr>
        <w:t>matters</w:t>
      </w:r>
      <w:r>
        <w:rPr>
          <w:spacing w:val="-4"/>
          <w:sz w:val="20"/>
        </w:rPr>
        <w:t> </w:t>
      </w:r>
      <w:r>
        <w:rPr>
          <w:sz w:val="20"/>
        </w:rPr>
        <w:t>which</w:t>
      </w:r>
      <w:r>
        <w:rPr>
          <w:spacing w:val="-2"/>
          <w:sz w:val="20"/>
        </w:rPr>
        <w:t> </w:t>
      </w:r>
      <w:r>
        <w:rPr>
          <w:sz w:val="20"/>
        </w:rPr>
        <w:t>may</w:t>
      </w:r>
      <w:r>
        <w:rPr>
          <w:spacing w:val="-2"/>
          <w:sz w:val="20"/>
        </w:rPr>
        <w:t> </w:t>
      </w:r>
      <w:r>
        <w:rPr>
          <w:sz w:val="20"/>
        </w:rPr>
        <w:t>impact</w:t>
      </w:r>
      <w:r>
        <w:rPr>
          <w:spacing w:val="-3"/>
          <w:sz w:val="20"/>
        </w:rPr>
        <w:t> </w:t>
      </w:r>
      <w:r>
        <w:rPr>
          <w:sz w:val="20"/>
        </w:rPr>
        <w:t>the</w:t>
      </w:r>
      <w:r>
        <w:rPr>
          <w:spacing w:val="-4"/>
          <w:sz w:val="20"/>
        </w:rPr>
        <w:t> </w:t>
      </w:r>
      <w:r>
        <w:rPr>
          <w:sz w:val="20"/>
        </w:rPr>
        <w:t>conduct</w:t>
      </w:r>
      <w:r>
        <w:rPr>
          <w:spacing w:val="-3"/>
          <w:sz w:val="20"/>
        </w:rPr>
        <w:t> </w:t>
      </w:r>
      <w:r>
        <w:rPr>
          <w:sz w:val="20"/>
        </w:rPr>
        <w:t>of</w:t>
      </w:r>
      <w:r>
        <w:rPr>
          <w:spacing w:val="-4"/>
          <w:sz w:val="20"/>
        </w:rPr>
        <w:t> </w:t>
      </w:r>
      <w:r>
        <w:rPr>
          <w:sz w:val="20"/>
        </w:rPr>
        <w:t>the</w:t>
      </w:r>
      <w:r>
        <w:rPr>
          <w:spacing w:val="-4"/>
          <w:sz w:val="20"/>
        </w:rPr>
        <w:t> </w:t>
      </w:r>
      <w:r>
        <w:rPr>
          <w:sz w:val="20"/>
        </w:rPr>
        <w:t>project.</w:t>
      </w:r>
    </w:p>
    <w:p>
      <w:pPr>
        <w:pStyle w:val="ListParagraph"/>
        <w:numPr>
          <w:ilvl w:val="0"/>
          <w:numId w:val="1"/>
        </w:numPr>
        <w:tabs>
          <w:tab w:pos="479" w:val="left" w:leader="none"/>
          <w:tab w:pos="480" w:val="left" w:leader="none"/>
        </w:tabs>
        <w:spacing w:line="240" w:lineRule="auto" w:before="0" w:after="0"/>
        <w:ind w:left="479" w:right="144" w:hanging="359"/>
        <w:jc w:val="left"/>
        <w:rPr>
          <w:sz w:val="20"/>
        </w:rPr>
      </w:pPr>
      <w:r>
        <w:rPr>
          <w:sz w:val="20"/>
        </w:rPr>
        <w:t>If your project involves radiation, you are legally obliged to conduct your research in accordance with the Australian Radiation Protection and Nuclear Safety Agency Code of Practice ‘Exposure of Humans to Ionizing Radiation for Research Purposes’ Radiation Protection series Publication No.8 (May 2005)(ARPANSA</w:t>
      </w:r>
      <w:r>
        <w:rPr>
          <w:spacing w:val="-16"/>
          <w:sz w:val="20"/>
        </w:rPr>
        <w:t> </w:t>
      </w:r>
      <w:r>
        <w:rPr>
          <w:sz w:val="20"/>
        </w:rPr>
        <w:t>Code).</w:t>
      </w:r>
    </w:p>
    <w:p>
      <w:pPr>
        <w:pStyle w:val="BodyText"/>
        <w:spacing w:before="11"/>
        <w:rPr>
          <w:sz w:val="19"/>
        </w:rPr>
      </w:pPr>
    </w:p>
    <w:p>
      <w:pPr>
        <w:pStyle w:val="BodyText"/>
        <w:ind w:left="120" w:right="119"/>
      </w:pPr>
      <w:r>
        <w:rPr/>
        <w:t>Please note: Template forms for reporting Amendments, safety reporting, Annual/Final reports, etc. can be accessed from: </w:t>
      </w:r>
      <w:hyperlink r:id="rId8">
        <w:r>
          <w:rPr>
            <w:color w:val="0000FF"/>
            <w:u w:val="single" w:color="0000FF"/>
          </w:rPr>
          <w:t>https://www2.health.vic.gov.au/about/clinical-trials-and-research/clinical-trial-</w:t>
        </w:r>
      </w:hyperlink>
      <w:r>
        <w:rPr>
          <w:color w:val="0000FF"/>
        </w:rPr>
        <w:t> </w:t>
      </w:r>
      <w:hyperlink r:id="rId8">
        <w:r>
          <w:rPr>
            <w:color w:val="0000FF"/>
            <w:u w:val="single" w:color="0000FF"/>
          </w:rPr>
          <w:t>research/monitoring-reporting</w:t>
        </w:r>
      </w:hyperlink>
    </w:p>
    <w:p>
      <w:pPr>
        <w:pStyle w:val="BodyText"/>
      </w:pPr>
    </w:p>
    <w:p>
      <w:pPr>
        <w:pStyle w:val="BodyText"/>
        <w:spacing w:before="1"/>
        <w:rPr>
          <w:sz w:val="15"/>
        </w:rPr>
      </w:pPr>
    </w:p>
    <w:p>
      <w:pPr>
        <w:pStyle w:val="BodyText"/>
        <w:spacing w:line="480" w:lineRule="auto" w:before="59"/>
        <w:ind w:left="120" w:right="3646"/>
      </w:pPr>
      <w:r>
        <w:rPr/>
        <w:drawing>
          <wp:anchor distT="0" distB="0" distL="0" distR="0" allowOverlap="1" layoutInCell="1" locked="0" behindDoc="1" simplePos="0" relativeHeight="268430327">
            <wp:simplePos x="0" y="0"/>
            <wp:positionH relativeFrom="page">
              <wp:posOffset>1143000</wp:posOffset>
            </wp:positionH>
            <wp:positionV relativeFrom="paragraph">
              <wp:posOffset>502860</wp:posOffset>
            </wp:positionV>
            <wp:extent cx="2114549" cy="819143"/>
            <wp:effectExtent l="0" t="0" r="0" b="0"/>
            <wp:wrapNone/>
            <wp:docPr id="5" name="image3.png" descr="C:\Documents and Settings\quachmi\Local Settings\Temporary Internet Files\Content.Word\PeterColman.jp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2114549" cy="819143"/>
                    </a:xfrm>
                    <a:prstGeom prst="rect">
                      <a:avLst/>
                    </a:prstGeom>
                  </pic:spPr>
                </pic:pic>
              </a:graphicData>
            </a:graphic>
          </wp:anchor>
        </w:drawing>
      </w:r>
      <w:r>
        <w:rPr/>
        <w:t>The HREC may conduct an audit of the project at any time. Yours sincerely,</w:t>
      </w:r>
    </w:p>
    <w:p>
      <w:pPr>
        <w:pStyle w:val="BodyText"/>
      </w:pPr>
    </w:p>
    <w:p>
      <w:pPr>
        <w:pStyle w:val="BodyText"/>
      </w:pPr>
    </w:p>
    <w:p>
      <w:pPr>
        <w:pStyle w:val="BodyText"/>
      </w:pPr>
    </w:p>
    <w:p>
      <w:pPr>
        <w:pStyle w:val="BodyText"/>
        <w:spacing w:before="9"/>
        <w:rPr>
          <w:sz w:val="25"/>
        </w:rPr>
      </w:pPr>
    </w:p>
    <w:p>
      <w:pPr>
        <w:pStyle w:val="BodyText"/>
        <w:spacing w:line="243" w:lineRule="exact" w:before="1"/>
        <w:ind w:left="119"/>
      </w:pPr>
      <w:r>
        <w:rPr/>
        <w:t>Prof Peter Colman</w:t>
      </w:r>
    </w:p>
    <w:p>
      <w:pPr>
        <w:pStyle w:val="BodyText"/>
        <w:spacing w:line="243" w:lineRule="exact"/>
        <w:ind w:left="119"/>
      </w:pPr>
      <w:r>
        <w:rPr/>
        <w:t>Chair – Melbourne Health Human Research Ethics Committee (HREC)</w:t>
      </w:r>
    </w:p>
    <w:sectPr>
      <w:pgSz w:w="11900" w:h="16850"/>
      <w:pgMar w:top="1600" w:bottom="280" w:left="1680" w:right="1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Georgia">
    <w:altName w:val="Georgia"/>
    <w:charset w:val="0"/>
    <w:family w:val="roman"/>
    <w:pitch w:val="variable"/>
  </w:font>
  <w:font w:name="Arial">
    <w:altName w:val="Arial"/>
    <w:charset w:val="0"/>
    <w:family w:val="swiss"/>
    <w:pitch w:val="variable"/>
  </w:font>
  <w:font w:name="Calibri">
    <w:altName w:val="Calibri"/>
    <w:charset w:val="0"/>
    <w:family w:val="swiss"/>
    <w:pitch w:val="variable"/>
  </w:font>
  <w:font w:name="Symbol">
    <w:altName w:val="Symbol"/>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60" w:hanging="341"/>
      </w:pPr>
      <w:rPr>
        <w:rFonts w:hint="default" w:ascii="Symbol" w:hAnsi="Symbol" w:eastAsia="Symbol" w:cs="Symbol"/>
        <w:w w:val="99"/>
        <w:sz w:val="20"/>
        <w:szCs w:val="20"/>
      </w:rPr>
    </w:lvl>
    <w:lvl w:ilvl="1">
      <w:start w:val="0"/>
      <w:numFmt w:val="bullet"/>
      <w:lvlText w:val=""/>
      <w:lvlJc w:val="left"/>
      <w:pPr>
        <w:ind w:left="1180" w:hanging="341"/>
      </w:pPr>
      <w:rPr>
        <w:rFonts w:hint="default" w:ascii="Symbol" w:hAnsi="Symbol" w:eastAsia="Symbol" w:cs="Symbol"/>
        <w:w w:val="99"/>
        <w:sz w:val="20"/>
        <w:szCs w:val="20"/>
      </w:rPr>
    </w:lvl>
    <w:lvl w:ilvl="2">
      <w:start w:val="0"/>
      <w:numFmt w:val="bullet"/>
      <w:lvlText w:val="•"/>
      <w:lvlJc w:val="left"/>
      <w:pPr>
        <w:ind w:left="1997" w:hanging="341"/>
      </w:pPr>
      <w:rPr>
        <w:rFonts w:hint="default"/>
      </w:rPr>
    </w:lvl>
    <w:lvl w:ilvl="3">
      <w:start w:val="0"/>
      <w:numFmt w:val="bullet"/>
      <w:lvlText w:val="•"/>
      <w:lvlJc w:val="left"/>
      <w:pPr>
        <w:ind w:left="2815" w:hanging="341"/>
      </w:pPr>
      <w:rPr>
        <w:rFonts w:hint="default"/>
      </w:rPr>
    </w:lvl>
    <w:lvl w:ilvl="4">
      <w:start w:val="0"/>
      <w:numFmt w:val="bullet"/>
      <w:lvlText w:val="•"/>
      <w:lvlJc w:val="left"/>
      <w:pPr>
        <w:ind w:left="3633" w:hanging="341"/>
      </w:pPr>
      <w:rPr>
        <w:rFonts w:hint="default"/>
      </w:rPr>
    </w:lvl>
    <w:lvl w:ilvl="5">
      <w:start w:val="0"/>
      <w:numFmt w:val="bullet"/>
      <w:lvlText w:val="•"/>
      <w:lvlJc w:val="left"/>
      <w:pPr>
        <w:ind w:left="4450" w:hanging="341"/>
      </w:pPr>
      <w:rPr>
        <w:rFonts w:hint="default"/>
      </w:rPr>
    </w:lvl>
    <w:lvl w:ilvl="6">
      <w:start w:val="0"/>
      <w:numFmt w:val="bullet"/>
      <w:lvlText w:val="•"/>
      <w:lvlJc w:val="left"/>
      <w:pPr>
        <w:ind w:left="5268" w:hanging="341"/>
      </w:pPr>
      <w:rPr>
        <w:rFonts w:hint="default"/>
      </w:rPr>
    </w:lvl>
    <w:lvl w:ilvl="7">
      <w:start w:val="0"/>
      <w:numFmt w:val="bullet"/>
      <w:lvlText w:val="•"/>
      <w:lvlJc w:val="left"/>
      <w:pPr>
        <w:ind w:left="6086" w:hanging="341"/>
      </w:pPr>
      <w:rPr>
        <w:rFonts w:hint="default"/>
      </w:rPr>
    </w:lvl>
    <w:lvl w:ilvl="8">
      <w:start w:val="0"/>
      <w:numFmt w:val="bullet"/>
      <w:lvlText w:val="•"/>
      <w:lvlJc w:val="left"/>
      <w:pPr>
        <w:ind w:left="6903" w:hanging="34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rPr>
      <w:rFonts w:ascii="Calibri" w:hAnsi="Calibri" w:eastAsia="Calibri" w:cs="Calibri"/>
      <w:sz w:val="20"/>
      <w:szCs w:val="20"/>
    </w:rPr>
  </w:style>
  <w:style w:styleId="Heading1" w:type="paragraph">
    <w:name w:val="Heading 1"/>
    <w:basedOn w:val="Normal"/>
    <w:uiPriority w:val="1"/>
    <w:qFormat/>
    <w:pPr>
      <w:ind w:left="120"/>
      <w:outlineLvl w:val="1"/>
    </w:pPr>
    <w:rPr>
      <w:rFonts w:ascii="Calibri" w:hAnsi="Calibri" w:eastAsia="Calibri" w:cs="Calibri"/>
      <w:b/>
      <w:bCs/>
      <w:sz w:val="20"/>
      <w:szCs w:val="20"/>
    </w:rPr>
  </w:style>
  <w:style w:styleId="ListParagraph" w:type="paragraph">
    <w:name w:val="List Paragraph"/>
    <w:basedOn w:val="Normal"/>
    <w:uiPriority w:val="1"/>
    <w:qFormat/>
    <w:pPr>
      <w:ind w:left="460" w:hanging="340"/>
    </w:pPr>
    <w:rPr>
      <w:rFonts w:ascii="Calibri" w:hAnsi="Calibri" w:eastAsia="Calibri" w:cs="Calibri"/>
    </w:rPr>
  </w:style>
  <w:style w:styleId="TableParagraph" w:type="paragraph">
    <w:name w:val="Table Paragraph"/>
    <w:basedOn w:val="Normal"/>
    <w:uiPriority w:val="1"/>
    <w:qFormat/>
    <w:pPr>
      <w:spacing w:line="224" w:lineRule="exact"/>
      <w:ind w:left="102"/>
    </w:pPr>
    <w:rPr>
      <w:rFonts w:ascii="Calibri" w:hAnsi="Calibri" w:eastAsia="Calibri" w:cs="Calibri"/>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research@mh.org.au" TargetMode="External"/><Relationship Id="rId7" Type="http://schemas.openxmlformats.org/officeDocument/2006/relationships/image" Target="media/image2.jpeg"/><Relationship Id="rId8" Type="http://schemas.openxmlformats.org/officeDocument/2006/relationships/hyperlink" Target="https://www2.health.vic.gov.au/about/clinical-trials-and-research/clinical-trial-research/monitoring-reporting" TargetMode="External"/><Relationship Id="rId9" Type="http://schemas.openxmlformats.org/officeDocument/2006/relationships/image" Target="media/image3.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Angelo Setaro</dc:creator>
  <dcterms:created xsi:type="dcterms:W3CDTF">2019-07-16T15:36:12Z</dcterms:created>
  <dcterms:modified xsi:type="dcterms:W3CDTF">2019-07-16T15:36:12Z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2018-06-28T00:00:00Z</vt:filetime>
  </property>
  <property fmtid="{D5CDD505-2E9C-101B-9397-08002B2CF9AE}" pid="3" name="Creator">
    <vt:lpwstr>Acrobat PDFMaker 17 for Word</vt:lpwstr>
  </property>
  <property fmtid="{D5CDD505-2E9C-101B-9397-08002B2CF9AE}" pid="4" name="LastSaved">
    <vt:filetime>2019-07-16T00:00:00Z</vt:filetime>
  </property>
</Properties>
</file>